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C7" w:rsidRPr="004340C7" w:rsidRDefault="004340C7" w:rsidP="004340C7">
      <w:pPr>
        <w:rPr>
          <w:rFonts w:ascii="Century" w:eastAsia="ＭＳ 明朝" w:hAnsi="Century" w:cs="Times New Roman"/>
          <w:sz w:val="24"/>
          <w:szCs w:val="24"/>
        </w:rPr>
      </w:pPr>
    </w:p>
    <w:p w:rsidR="004340C7" w:rsidRPr="004340C7" w:rsidRDefault="00DF4304" w:rsidP="004340C7">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平成30</w:t>
      </w:r>
      <w:r w:rsidR="004340C7" w:rsidRPr="004340C7">
        <w:rPr>
          <w:rFonts w:ascii="ＭＳ ゴシック" w:eastAsia="ＭＳ ゴシック" w:hAnsi="ＭＳ ゴシック" w:cs="Times New Roman" w:hint="eastAsia"/>
          <w:sz w:val="24"/>
          <w:szCs w:val="24"/>
        </w:rPr>
        <w:t>年度政策・実務研修「訴訟等実務」事前アンケート</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p>
    <w:p w:rsidR="004340C7" w:rsidRPr="004340C7" w:rsidRDefault="004340C7" w:rsidP="004340C7">
      <w:pPr>
        <w:ind w:left="230" w:hangingChars="100" w:hanging="230"/>
        <w:rPr>
          <w:rFonts w:ascii="Century" w:eastAsia="ＭＳ 明朝" w:hAnsi="Century" w:cs="Times New Roman"/>
          <w:sz w:val="24"/>
          <w:szCs w:val="24"/>
        </w:rPr>
      </w:pPr>
      <w:r w:rsidRPr="004340C7">
        <w:rPr>
          <w:rFonts w:ascii="Century" w:eastAsia="ＭＳ 明朝" w:hAnsi="Century" w:cs="Times New Roman" w:hint="eastAsia"/>
          <w:sz w:val="24"/>
          <w:szCs w:val="24"/>
        </w:rPr>
        <w:t>１　以下の文章につき，正しいと思えば○を，誤りだと思えば×を，そもそも何を聞かれているのか分からなければ？を，いちおう何を聞かれているかは分かるが答えは全く分からないときには△をつけて下さ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(1)</w:t>
      </w:r>
      <w:r w:rsidRPr="004340C7">
        <w:rPr>
          <w:rFonts w:ascii="Century" w:eastAsia="ＭＳ 明朝" w:hAnsi="Century" w:cs="Times New Roman" w:hint="eastAsia"/>
          <w:sz w:val="24"/>
          <w:szCs w:val="24"/>
        </w:rPr>
        <w:t xml:space="preserve">　違法な営業停止処分によって損害を受けたとして国家賠償請求訴訟を提起する者は，事前に上記営業停止処分の取消訴訟を提起していなければならない。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(2)</w:t>
      </w:r>
      <w:r w:rsidRPr="004340C7">
        <w:rPr>
          <w:rFonts w:ascii="Century" w:eastAsia="ＭＳ 明朝" w:hAnsi="Century" w:cs="Times New Roman" w:hint="eastAsia"/>
          <w:sz w:val="24"/>
          <w:szCs w:val="24"/>
        </w:rPr>
        <w:t xml:space="preserve">　ある行政処分について，行政不服審査法に基づく不服申立てができる場合には，原則として，不服申立てに対する判断を得てからでなければ取消訴訟は提起することができない。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(3)</w:t>
      </w:r>
      <w:r w:rsidRPr="004340C7">
        <w:rPr>
          <w:rFonts w:ascii="Century" w:eastAsia="ＭＳ 明朝" w:hAnsi="Century" w:cs="Times New Roman" w:hint="eastAsia"/>
          <w:sz w:val="24"/>
          <w:szCs w:val="24"/>
        </w:rPr>
        <w:t xml:space="preserve">　行政処分の取消訴訟を提起しただけではその処分の効果は失われないので，その効果を停止するためには民事保全法に基づく仮の地位を定める仮処分の申立てをする必要がある。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(4)</w:t>
      </w:r>
      <w:r w:rsidRPr="004340C7">
        <w:rPr>
          <w:rFonts w:ascii="Century" w:eastAsia="ＭＳ 明朝" w:hAnsi="Century" w:cs="Times New Roman" w:hint="eastAsia"/>
          <w:sz w:val="24"/>
          <w:szCs w:val="24"/>
        </w:rPr>
        <w:t xml:space="preserve">　行政庁は，申請により求められた許認可等を拒否する処分をする場合には，原則として，申請者に対し，拒否処分と同時に当該処分の理由を示さなくてはならない。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(5)</w:t>
      </w:r>
      <w:r w:rsidRPr="004340C7">
        <w:rPr>
          <w:rFonts w:ascii="Century" w:eastAsia="ＭＳ 明朝" w:hAnsi="Century" w:cs="Times New Roman" w:hint="eastAsia"/>
          <w:sz w:val="24"/>
          <w:szCs w:val="24"/>
        </w:rPr>
        <w:t xml:space="preserve">　ＸとＡとが競願関係にあり，Ａに許可処分，Ｘに不許可処分がなされた場合，Ｘは自己に対する不許可処分の取消訴訟は提起できるが，Ａに対する許可処分の取消訴訟は提起できないとするのが判例である。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(6)</w:t>
      </w:r>
      <w:r w:rsidRPr="004340C7">
        <w:rPr>
          <w:rFonts w:ascii="Century" w:eastAsia="ＭＳ 明朝" w:hAnsi="Century" w:cs="Times New Roman" w:hint="eastAsia"/>
          <w:sz w:val="24"/>
          <w:szCs w:val="24"/>
        </w:rPr>
        <w:t xml:space="preserve">　処分の取消の訴えと，その処分についての審査請求を棄却した裁決の取消の訴えとの双方を提起することができる場合には，裁決の取消の訴えにおいては，当該裁決固有の違法事由に限って主張することができ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(7)</w:t>
      </w:r>
      <w:r w:rsidRPr="004340C7">
        <w:rPr>
          <w:rFonts w:ascii="Century" w:eastAsia="ＭＳ 明朝" w:hAnsi="Century" w:cs="Times New Roman" w:hint="eastAsia"/>
          <w:sz w:val="24"/>
          <w:szCs w:val="24"/>
        </w:rPr>
        <w:t xml:space="preserve">　公共用物については，公用廃止処分がなされない限りは取得時効の対象にはならないが，その公用廃止処分は黙示のものでもよいとするのが判例の立場である。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lastRenderedPageBreak/>
        <w:t xml:space="preserve">　</w:t>
      </w:r>
      <w:r w:rsidRPr="004340C7">
        <w:rPr>
          <w:rFonts w:ascii="Century" w:eastAsia="ＭＳ 明朝" w:hAnsi="Century" w:cs="Times New Roman" w:hint="eastAsia"/>
          <w:sz w:val="24"/>
          <w:szCs w:val="24"/>
        </w:rPr>
        <w:t>(8)</w:t>
      </w:r>
      <w:r w:rsidRPr="004340C7">
        <w:rPr>
          <w:rFonts w:ascii="Century" w:eastAsia="ＭＳ 明朝" w:hAnsi="Century" w:cs="Times New Roman" w:hint="eastAsia"/>
          <w:sz w:val="24"/>
          <w:szCs w:val="24"/>
        </w:rPr>
        <w:t xml:space="preserve">　憲法２９条３項に違反して正当な補償なしに財産上特別の犠牲を課された者は，法令に損失補償に関する規定がなくとも，同項を根拠として直接補償請求しうるとするのが通説的見解である。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(9)</w:t>
      </w:r>
      <w:r w:rsidRPr="004340C7">
        <w:rPr>
          <w:rFonts w:ascii="Century" w:eastAsia="ＭＳ 明朝" w:hAnsi="Century" w:cs="Times New Roman" w:hint="eastAsia"/>
          <w:sz w:val="24"/>
          <w:szCs w:val="24"/>
        </w:rPr>
        <w:t xml:space="preserve">　自然人Ｘが他人の土地を時効取得したときには，所得税法上は，時効の援用の意思表示をしたときに原始取得したものとして，その時点でのその土地の時価相当額の収入があったものとして課税がなされる。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(10)</w:t>
      </w:r>
      <w:r w:rsidRPr="004340C7">
        <w:rPr>
          <w:rFonts w:ascii="Century" w:eastAsia="ＭＳ 明朝" w:hAnsi="Century" w:cs="Times New Roman" w:hint="eastAsia"/>
          <w:sz w:val="24"/>
          <w:szCs w:val="24"/>
        </w:rPr>
        <w:t xml:space="preserve">　ＸがＹに対して水門を開放するよう求めた訴訟で認容判決が確定したときは，Ｚは，Ｙに対してその水門を開放してはならないとする仮処分決定を得ることで，上記のＸＹ間の確定判決が執行されないようにすることができる。</w:t>
      </w:r>
    </w:p>
    <w:p w:rsidR="004340C7" w:rsidRPr="004340C7" w:rsidRDefault="004340C7" w:rsidP="004340C7">
      <w:pPr>
        <w:ind w:left="460" w:hangingChars="200" w:hanging="460"/>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２　以下の各問いに答えて下さい。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(1)</w:t>
      </w:r>
      <w:r w:rsidRPr="004340C7">
        <w:rPr>
          <w:rFonts w:ascii="Century" w:eastAsia="ＭＳ 明朝" w:hAnsi="Century" w:cs="Times New Roman" w:hint="eastAsia"/>
          <w:sz w:val="24"/>
          <w:szCs w:val="24"/>
        </w:rPr>
        <w:t xml:space="preserve">　行政事件訴訟法にいう民衆訴訟と機関訴訟の例を，それぞれ１つずつ挙げて下さい。</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sz w:val="24"/>
          <w:szCs w:val="24"/>
        </w:rPr>
        <w:t xml:space="preserve">  </w:t>
      </w:r>
      <w:r w:rsidRPr="004340C7">
        <w:rPr>
          <w:rFonts w:ascii="Century" w:eastAsia="ＭＳ 明朝" w:hAnsi="Century" w:cs="Times New Roman" w:hint="eastAsia"/>
          <w:sz w:val="24"/>
          <w:szCs w:val="24"/>
        </w:rPr>
        <w:t>(2)</w:t>
      </w:r>
      <w:r w:rsidRPr="004340C7">
        <w:rPr>
          <w:rFonts w:ascii="Century" w:eastAsia="ＭＳ 明朝" w:hAnsi="Century" w:cs="Times New Roman" w:hint="eastAsia"/>
          <w:sz w:val="24"/>
          <w:szCs w:val="24"/>
        </w:rPr>
        <w:t xml:space="preserve">　京都市に住所を有するＡが国土交通省本省が保有する行政文書の非公開処分の取消訴訟を提起する場合，どの裁判所が管轄を有するでしょうか。なお，合意管轄は考慮しないこととします。</w:t>
      </w:r>
    </w:p>
    <w:p w:rsidR="004340C7" w:rsidRPr="004340C7" w:rsidRDefault="004340C7" w:rsidP="004340C7">
      <w:pPr>
        <w:ind w:left="460" w:hangingChars="200" w:hanging="460"/>
        <w:rPr>
          <w:rFonts w:ascii="Century" w:eastAsia="ＭＳ 明朝" w:hAnsi="Century" w:cs="Times New Roman"/>
          <w:sz w:val="24"/>
          <w:szCs w:val="24"/>
        </w:rPr>
      </w:pPr>
    </w:p>
    <w:p w:rsidR="004340C7" w:rsidRPr="004340C7" w:rsidRDefault="004340C7" w:rsidP="004340C7">
      <w:pPr>
        <w:ind w:left="230" w:hangingChars="100" w:hanging="230"/>
        <w:rPr>
          <w:rFonts w:ascii="Century" w:eastAsia="ＭＳ 明朝" w:hAnsi="Century" w:cs="Times New Roman"/>
          <w:sz w:val="24"/>
          <w:szCs w:val="24"/>
        </w:rPr>
      </w:pPr>
      <w:r w:rsidRPr="004340C7">
        <w:rPr>
          <w:rFonts w:ascii="Century" w:eastAsia="ＭＳ 明朝" w:hAnsi="Century" w:cs="Times New Roman" w:hint="eastAsia"/>
          <w:sz w:val="24"/>
          <w:szCs w:val="24"/>
        </w:rPr>
        <w:t>３　貴殿の法律に関連する資格・経験等について，回答用紙の質問についてお答え下さい。</w:t>
      </w:r>
    </w:p>
    <w:p w:rsidR="004340C7" w:rsidRPr="004340C7" w:rsidRDefault="004340C7" w:rsidP="004340C7">
      <w:pPr>
        <w:ind w:left="460" w:hangingChars="200" w:hanging="460"/>
        <w:rPr>
          <w:rFonts w:ascii="Century" w:eastAsia="ＭＳ 明朝" w:hAnsi="Century" w:cs="Times New Roman"/>
          <w:sz w:val="24"/>
          <w:szCs w:val="24"/>
        </w:rPr>
      </w:pPr>
    </w:p>
    <w:p w:rsidR="004340C7" w:rsidRPr="004340C7" w:rsidRDefault="004340C7" w:rsidP="004340C7">
      <w:pPr>
        <w:ind w:firstLineChars="100" w:firstLine="230"/>
        <w:jc w:val="left"/>
        <w:rPr>
          <w:rFonts w:ascii="Century" w:eastAsia="ＭＳ 明朝" w:hAnsi="Century" w:cs="Times New Roman"/>
          <w:sz w:val="24"/>
          <w:szCs w:val="24"/>
        </w:rPr>
      </w:pPr>
      <w:r w:rsidRPr="004340C7">
        <w:rPr>
          <w:rFonts w:ascii="Century" w:eastAsia="ＭＳ 明朝" w:hAnsi="Century" w:cs="Times New Roman" w:hint="eastAsia"/>
          <w:sz w:val="24"/>
          <w:szCs w:val="24"/>
        </w:rPr>
        <w:t>アンケートは以上です。なお，アンケートの結果は，氏名を特定されない形で研修会参加者，講師，担当者で共有いたしますので，あらかじめご了承下さい。</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sz w:val="24"/>
          <w:szCs w:val="24"/>
        </w:rPr>
        <w:t xml:space="preserve"> </w:t>
      </w:r>
    </w:p>
    <w:p w:rsidR="004340C7" w:rsidRPr="004340C7" w:rsidRDefault="004340C7" w:rsidP="004340C7">
      <w:pPr>
        <w:jc w:val="center"/>
        <w:rPr>
          <w:rFonts w:ascii="ＭＳ ゴシック" w:eastAsia="ＭＳ ゴシック" w:hAnsi="ＭＳ ゴシック" w:cs="Times New Roman"/>
          <w:sz w:val="24"/>
          <w:szCs w:val="24"/>
        </w:rPr>
      </w:pPr>
      <w:r w:rsidRPr="004340C7">
        <w:rPr>
          <w:rFonts w:ascii="Century" w:eastAsia="ＭＳ 明朝" w:hAnsi="Century" w:cs="Times New Roman"/>
          <w:sz w:val="24"/>
          <w:szCs w:val="24"/>
        </w:rPr>
        <w:br w:type="page"/>
      </w:r>
      <w:r w:rsidR="002F3FAD">
        <w:rPr>
          <w:rFonts w:ascii="ＭＳ ゴシック" w:eastAsia="ＭＳ ゴシック" w:hAnsi="ＭＳ ゴシック" w:cs="Times New Roman" w:hint="eastAsia"/>
          <w:sz w:val="24"/>
          <w:szCs w:val="24"/>
        </w:rPr>
        <w:lastRenderedPageBreak/>
        <w:t>平成30</w:t>
      </w:r>
      <w:r w:rsidRPr="004340C7">
        <w:rPr>
          <w:rFonts w:ascii="ＭＳ ゴシック" w:eastAsia="ＭＳ ゴシック" w:hAnsi="ＭＳ ゴシック" w:cs="Times New Roman" w:hint="eastAsia"/>
          <w:sz w:val="24"/>
          <w:szCs w:val="24"/>
        </w:rPr>
        <w:t>年度政策・実務研修「訴訟等実務」事前アンケート回答</w:t>
      </w:r>
    </w:p>
    <w:p w:rsidR="004340C7" w:rsidRPr="004340C7" w:rsidRDefault="004340C7" w:rsidP="004340C7">
      <w:pPr>
        <w:jc w:val="center"/>
        <w:rPr>
          <w:rFonts w:ascii="ＭＳ ゴシック" w:eastAsia="ＭＳ ゴシック" w:hAnsi="ＭＳ ゴシック" w:cs="Times New Roman"/>
          <w:sz w:val="24"/>
          <w:szCs w:val="24"/>
        </w:rPr>
      </w:pPr>
    </w:p>
    <w:p w:rsidR="004340C7" w:rsidRPr="004340C7" w:rsidRDefault="004340C7" w:rsidP="004340C7">
      <w:pPr>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氏名　　　　　　　　　　　</w:t>
      </w: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１</w:t>
      </w:r>
    </w:p>
    <w:p w:rsidR="004340C7" w:rsidRPr="004340C7" w:rsidRDefault="004340C7" w:rsidP="004340C7">
      <w:pPr>
        <w:ind w:firstLineChars="100" w:firstLine="230"/>
        <w:rPr>
          <w:rFonts w:ascii="Century" w:eastAsia="ＭＳ 明朝" w:hAnsi="Century" w:cs="Times New Roman"/>
          <w:sz w:val="24"/>
          <w:szCs w:val="24"/>
        </w:rPr>
      </w:pPr>
      <w:r w:rsidRPr="004340C7">
        <w:rPr>
          <w:rFonts w:ascii="Century" w:eastAsia="ＭＳ 明朝" w:hAnsi="Century" w:cs="Times New Roman" w:hint="eastAsia"/>
          <w:sz w:val="24"/>
          <w:szCs w:val="24"/>
        </w:rPr>
        <w:t>(1)</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ind w:firstLineChars="100" w:firstLine="230"/>
        <w:rPr>
          <w:rFonts w:ascii="Century" w:eastAsia="ＭＳ 明朝" w:hAnsi="Century" w:cs="Times New Roman"/>
          <w:sz w:val="24"/>
          <w:szCs w:val="24"/>
        </w:rPr>
      </w:pPr>
      <w:r w:rsidRPr="004340C7">
        <w:rPr>
          <w:rFonts w:ascii="Century" w:eastAsia="ＭＳ 明朝" w:hAnsi="Century" w:cs="Times New Roman" w:hint="eastAsia"/>
          <w:sz w:val="24"/>
          <w:szCs w:val="24"/>
        </w:rPr>
        <w:t>(2)</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(3)</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ind w:firstLineChars="100" w:firstLine="230"/>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(4)</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(5)</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ind w:firstLineChars="100" w:firstLine="230"/>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(6)</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(7)</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ind w:firstLineChars="100" w:firstLine="230"/>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(8)</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(9)</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ab/>
      </w:r>
      <w:r w:rsidRPr="004340C7">
        <w:rPr>
          <w:rFonts w:ascii="Century" w:eastAsia="ＭＳ 明朝" w:hAnsi="Century" w:cs="Times New Roman" w:hint="eastAsia"/>
          <w:sz w:val="24"/>
          <w:szCs w:val="24"/>
          <w:u w:val="single"/>
        </w:rPr>
        <w:t xml:space="preserve">　　　　</w:t>
      </w:r>
    </w:p>
    <w:p w:rsidR="004340C7" w:rsidRPr="004340C7" w:rsidRDefault="004340C7" w:rsidP="004340C7">
      <w:pPr>
        <w:rPr>
          <w:rFonts w:ascii="Century" w:eastAsia="ＭＳ 明朝" w:hAnsi="Century" w:cs="Times New Roman"/>
          <w:sz w:val="24"/>
          <w:szCs w:val="24"/>
          <w:u w:val="single"/>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(10)</w:t>
      </w: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u w:val="single"/>
        </w:rPr>
        <w:tab/>
        <w:t xml:space="preserve"> </w:t>
      </w:r>
    </w:p>
    <w:p w:rsidR="004340C7" w:rsidRPr="004340C7" w:rsidRDefault="004340C7" w:rsidP="004340C7">
      <w:pPr>
        <w:rPr>
          <w:rFonts w:ascii="Century" w:eastAsia="ＭＳ 明朝" w:hAnsi="Century" w:cs="Times New Roman"/>
          <w:sz w:val="24"/>
          <w:szCs w:val="24"/>
          <w:u w:val="single"/>
        </w:rPr>
      </w:pPr>
    </w:p>
    <w:p w:rsidR="004340C7" w:rsidRPr="004340C7" w:rsidRDefault="004340C7" w:rsidP="004340C7">
      <w:pPr>
        <w:rPr>
          <w:rFonts w:ascii="Century" w:eastAsia="ＭＳ 明朝" w:hAnsi="Century" w:cs="Times New Roman"/>
          <w:sz w:val="24"/>
          <w:szCs w:val="24"/>
          <w:u w:val="single"/>
        </w:rPr>
      </w:pP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２</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(1)</w:t>
      </w:r>
      <w:r w:rsidRPr="004340C7">
        <w:rPr>
          <w:rFonts w:ascii="Century" w:eastAsia="ＭＳ 明朝" w:hAnsi="Century" w:cs="Times New Roman" w:hint="eastAsia"/>
          <w:sz w:val="24"/>
          <w:szCs w:val="24"/>
        </w:rPr>
        <w:tab/>
      </w: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u w:val="single"/>
        </w:rPr>
      </w:pP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(2)</w:t>
      </w:r>
      <w:r w:rsidRPr="004340C7">
        <w:rPr>
          <w:rFonts w:ascii="Century" w:eastAsia="ＭＳ 明朝" w:hAnsi="Century" w:cs="Times New Roman" w:hint="eastAsia"/>
          <w:sz w:val="24"/>
          <w:szCs w:val="24"/>
        </w:rPr>
        <w:t xml:space="preserve">　　　　　　　　　　　　　　　　　　　　　　　　　</w:t>
      </w: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sz w:val="24"/>
          <w:szCs w:val="24"/>
        </w:rPr>
        <w:br w:type="page"/>
      </w:r>
      <w:r w:rsidRPr="004340C7">
        <w:rPr>
          <w:rFonts w:ascii="Century" w:eastAsia="ＭＳ 明朝" w:hAnsi="Century" w:cs="Times New Roman" w:hint="eastAsia"/>
          <w:sz w:val="24"/>
          <w:szCs w:val="24"/>
        </w:rPr>
        <w:lastRenderedPageBreak/>
        <w:t>３</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(1)</w:t>
      </w:r>
      <w:r w:rsidRPr="004340C7">
        <w:rPr>
          <w:rFonts w:ascii="Century" w:eastAsia="ＭＳ 明朝" w:hAnsi="Century" w:cs="Times New Roman" w:hint="eastAsia"/>
          <w:sz w:val="24"/>
          <w:szCs w:val="24"/>
        </w:rPr>
        <w:t xml:space="preserve">　以下のものについて，当てはまるものに○をつけて下さい。</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ア　大学の学部で法律を勉強して卒業をしている。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イ　法科大学院または法律系の修士課程を修了している。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ウ　法律系の博士課程を修了したか，単位取得退学をしている。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エ　司法試験に合格している。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オ　弁護士資格を有している。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カ　司法書士，行政書士，税理士，公認会計士の資格を有している。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キ　現課の職員として訴訟に関与したことがある。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ク　訟務・法務系の職員として訴訟に関与したことがある。</w:t>
      </w:r>
      <w:bookmarkStart w:id="0" w:name="_GoBack"/>
      <w:bookmarkEnd w:id="0"/>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ケ　答弁書を起案したことがある。</w:t>
      </w:r>
    </w:p>
    <w:p w:rsidR="004340C7" w:rsidRPr="004340C7" w:rsidRDefault="004340C7" w:rsidP="004340C7">
      <w:pPr>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コ　訴状を起案したことがある。</w:t>
      </w:r>
    </w:p>
    <w:p w:rsidR="004340C7" w:rsidRPr="004340C7" w:rsidRDefault="004340C7" w:rsidP="004340C7">
      <w:pPr>
        <w:ind w:left="460" w:hangingChars="200" w:hanging="460"/>
        <w:rPr>
          <w:rFonts w:ascii="Century" w:eastAsia="ＭＳ 明朝" w:hAnsi="Century" w:cs="Times New Roman"/>
          <w:sz w:val="24"/>
          <w:szCs w:val="24"/>
        </w:rPr>
      </w:pPr>
      <w:r w:rsidRPr="004340C7">
        <w:rPr>
          <w:rFonts w:ascii="Century" w:eastAsia="ＭＳ 明朝" w:hAnsi="Century" w:cs="Times New Roman" w:hint="eastAsia"/>
          <w:sz w:val="24"/>
          <w:szCs w:val="24"/>
        </w:rPr>
        <w:t xml:space="preserve">　</w:t>
      </w:r>
      <w:r w:rsidRPr="004340C7">
        <w:rPr>
          <w:rFonts w:ascii="Century" w:eastAsia="ＭＳ 明朝" w:hAnsi="Century" w:cs="Times New Roman" w:hint="eastAsia"/>
          <w:sz w:val="24"/>
          <w:szCs w:val="24"/>
        </w:rPr>
        <w:t>(2)</w:t>
      </w:r>
      <w:r w:rsidRPr="004340C7">
        <w:rPr>
          <w:rFonts w:ascii="Century" w:eastAsia="ＭＳ 明朝" w:hAnsi="Century" w:cs="Times New Roman" w:hint="eastAsia"/>
          <w:sz w:val="24"/>
          <w:szCs w:val="24"/>
        </w:rPr>
        <w:t xml:space="preserve">　その他，貴殿の法律・訴訟に関する知識・経験について，簡単にお知らせください。</w:t>
      </w: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rPr>
          <w:rFonts w:ascii="Century" w:eastAsia="ＭＳ 明朝" w:hAnsi="Century" w:cs="Times New Roman"/>
          <w:sz w:val="24"/>
          <w:szCs w:val="24"/>
        </w:rPr>
      </w:pPr>
    </w:p>
    <w:p w:rsidR="004340C7" w:rsidRPr="004340C7" w:rsidRDefault="004340C7" w:rsidP="004340C7">
      <w:pPr>
        <w:jc w:val="right"/>
        <w:rPr>
          <w:rFonts w:ascii="Century" w:eastAsia="ＭＳ 明朝" w:hAnsi="Century" w:cs="Times New Roman"/>
          <w:sz w:val="24"/>
          <w:szCs w:val="24"/>
        </w:rPr>
      </w:pPr>
    </w:p>
    <w:p w:rsidR="004340C7" w:rsidRPr="004340C7" w:rsidRDefault="004340C7" w:rsidP="004340C7">
      <w:pPr>
        <w:jc w:val="right"/>
        <w:rPr>
          <w:rFonts w:ascii="Century" w:eastAsia="ＭＳ 明朝" w:hAnsi="Century" w:cs="Times New Roman"/>
          <w:sz w:val="24"/>
          <w:szCs w:val="24"/>
        </w:rPr>
      </w:pPr>
      <w:r w:rsidRPr="004340C7">
        <w:rPr>
          <w:rFonts w:ascii="Century" w:eastAsia="ＭＳ 明朝" w:hAnsi="Century" w:cs="Times New Roman" w:hint="eastAsia"/>
          <w:sz w:val="24"/>
          <w:szCs w:val="24"/>
        </w:rPr>
        <w:t>ありがとうございました。</w:t>
      </w:r>
    </w:p>
    <w:p w:rsidR="006906AE" w:rsidRDefault="006906AE"/>
    <w:sectPr w:rsidR="006906AE" w:rsidSect="00311A65">
      <w:headerReference w:type="default" r:id="rId6"/>
      <w:footerReference w:type="default" r:id="rId7"/>
      <w:pgSz w:w="11906" w:h="16838" w:code="9"/>
      <w:pgMar w:top="1985" w:right="1701" w:bottom="1701" w:left="1701" w:header="851" w:footer="992" w:gutter="0"/>
      <w:cols w:space="425"/>
      <w:docGrid w:type="linesAndChars" w:linePitch="505"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3FAD">
      <w:r>
        <w:separator/>
      </w:r>
    </w:p>
  </w:endnote>
  <w:endnote w:type="continuationSeparator" w:id="0">
    <w:p w:rsidR="00000000" w:rsidRDefault="002F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C8" w:rsidRPr="009301FB" w:rsidRDefault="002F3FAD" w:rsidP="009301FB">
    <w:pPr>
      <w:pStyle w:val="a5"/>
      <w:rPr>
        <w:rStyle w:val="a7"/>
        <w:sz w:val="16"/>
        <w:szCs w:val="16"/>
      </w:rPr>
    </w:pPr>
  </w:p>
  <w:p w:rsidR="00B022C8" w:rsidRDefault="004340C7" w:rsidP="00D14368">
    <w:pPr>
      <w:pStyle w:val="a5"/>
      <w:jc w:val="center"/>
      <w:rPr>
        <w:rStyle w:val="a7"/>
      </w:rPr>
    </w:pPr>
    <w:r>
      <w:rPr>
        <w:rStyle w:val="a7"/>
      </w:rPr>
      <w:fldChar w:fldCharType="begin"/>
    </w:r>
    <w:r>
      <w:rPr>
        <w:rStyle w:val="a7"/>
      </w:rPr>
      <w:instrText xml:space="preserve"> PAGE </w:instrText>
    </w:r>
    <w:r>
      <w:rPr>
        <w:rStyle w:val="a7"/>
      </w:rPr>
      <w:fldChar w:fldCharType="separate"/>
    </w:r>
    <w:r w:rsidR="002F3FAD">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3FAD">
      <w:r>
        <w:separator/>
      </w:r>
    </w:p>
  </w:footnote>
  <w:footnote w:type="continuationSeparator" w:id="0">
    <w:p w:rsidR="00000000" w:rsidRDefault="002F3F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C8" w:rsidRDefault="002F3FAD">
    <w:pPr>
      <w:pStyle w:val="a3"/>
    </w:pPr>
  </w:p>
  <w:p w:rsidR="00B022C8" w:rsidRDefault="002F3FAD">
    <w:pPr>
      <w:pStyle w:val="a3"/>
    </w:pPr>
  </w:p>
  <w:p w:rsidR="00B022C8" w:rsidRDefault="002F3F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C7"/>
    <w:rsid w:val="002F3FAD"/>
    <w:rsid w:val="004340C7"/>
    <w:rsid w:val="006906AE"/>
    <w:rsid w:val="00DF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8E75B"/>
  <w15:docId w15:val="{D9599233-A0F4-41D5-99C2-A84ED6D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40C7"/>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rsid w:val="004340C7"/>
    <w:rPr>
      <w:rFonts w:ascii="Century" w:eastAsia="ＭＳ 明朝" w:hAnsi="Century" w:cs="Times New Roman"/>
      <w:sz w:val="24"/>
      <w:szCs w:val="24"/>
    </w:rPr>
  </w:style>
  <w:style w:type="paragraph" w:styleId="a5">
    <w:name w:val="footer"/>
    <w:basedOn w:val="a"/>
    <w:link w:val="a6"/>
    <w:rsid w:val="004340C7"/>
    <w:pPr>
      <w:tabs>
        <w:tab w:val="center" w:pos="4252"/>
        <w:tab w:val="right" w:pos="8504"/>
      </w:tabs>
      <w:snapToGrid w:val="0"/>
    </w:pPr>
    <w:rPr>
      <w:rFonts w:ascii="Century" w:eastAsia="ＭＳ 明朝" w:hAnsi="Century" w:cs="Times New Roman"/>
      <w:sz w:val="24"/>
      <w:szCs w:val="24"/>
    </w:rPr>
  </w:style>
  <w:style w:type="character" w:customStyle="1" w:styleId="a6">
    <w:name w:val="フッター (文字)"/>
    <w:basedOn w:val="a0"/>
    <w:link w:val="a5"/>
    <w:rsid w:val="004340C7"/>
    <w:rPr>
      <w:rFonts w:ascii="Century" w:eastAsia="ＭＳ 明朝" w:hAnsi="Century" w:cs="Times New Roman"/>
      <w:sz w:val="24"/>
      <w:szCs w:val="24"/>
    </w:rPr>
  </w:style>
  <w:style w:type="character" w:styleId="a7">
    <w:name w:val="page number"/>
    <w:basedOn w:val="a0"/>
    <w:rsid w:val="0043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t-hane</dc:creator>
  <cp:lastModifiedBy>全国市町村国際文化研修所</cp:lastModifiedBy>
  <cp:revision>3</cp:revision>
  <dcterms:created xsi:type="dcterms:W3CDTF">2017-10-04T00:58:00Z</dcterms:created>
  <dcterms:modified xsi:type="dcterms:W3CDTF">2018-09-07T09:10:00Z</dcterms:modified>
</cp:coreProperties>
</file>